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40" w:lineRule="exact"/>
        <w:jc w:val="center"/>
        <w:rPr>
          <w:rFonts w:ascii="华文中宋" w:hAnsi="华文中宋" w:eastAsia="华文中宋"/>
          <w:b/>
          <w:bCs/>
          <w:color w:val="auto"/>
          <w:spacing w:val="-10"/>
          <w:sz w:val="36"/>
          <w:szCs w:val="32"/>
          <w:highlight w:val="none"/>
        </w:rPr>
      </w:pPr>
      <w:r>
        <w:rPr>
          <w:rFonts w:ascii="华文中宋" w:hAnsi="华文中宋" w:eastAsia="华文中宋"/>
          <w:b/>
          <w:bCs/>
          <w:color w:val="auto"/>
          <w:spacing w:val="-10"/>
          <w:sz w:val="36"/>
          <w:szCs w:val="32"/>
          <w:highlight w:val="none"/>
        </w:rPr>
        <w:t>河海大学</w:t>
      </w:r>
      <w:r>
        <w:rPr>
          <w:rFonts w:hint="eastAsia" w:ascii="华文中宋" w:hAnsi="华文中宋" w:eastAsia="华文中宋"/>
          <w:b/>
          <w:bCs/>
          <w:color w:val="auto"/>
          <w:spacing w:val="-10"/>
          <w:sz w:val="36"/>
          <w:szCs w:val="32"/>
          <w:highlight w:val="none"/>
          <w:lang w:eastAsia="zh-CN"/>
        </w:rPr>
        <w:t>港口海岸与近海工程</w:t>
      </w:r>
      <w:r>
        <w:rPr>
          <w:rFonts w:ascii="华文中宋" w:hAnsi="华文中宋" w:eastAsia="华文中宋"/>
          <w:b/>
          <w:bCs/>
          <w:color w:val="auto"/>
          <w:spacing w:val="-10"/>
          <w:sz w:val="36"/>
          <w:szCs w:val="32"/>
          <w:highlight w:val="none"/>
        </w:rPr>
        <w:t>学院</w:t>
      </w:r>
      <w:r>
        <w:rPr>
          <w:rFonts w:hint="eastAsia" w:ascii="华文中宋" w:hAnsi="华文中宋" w:eastAsia="华文中宋"/>
          <w:b/>
          <w:bCs/>
          <w:color w:val="auto"/>
          <w:spacing w:val="-10"/>
          <w:sz w:val="36"/>
          <w:szCs w:val="32"/>
          <w:highlight w:val="none"/>
        </w:rPr>
        <w:t>接收</w:t>
      </w:r>
    </w:p>
    <w:p>
      <w:pPr>
        <w:spacing w:line="440" w:lineRule="exact"/>
        <w:jc w:val="center"/>
        <w:rPr>
          <w:rFonts w:ascii="华文中宋" w:hAnsi="华文中宋" w:eastAsia="华文中宋"/>
          <w:b/>
          <w:bCs/>
          <w:color w:val="auto"/>
          <w:spacing w:val="-10"/>
          <w:sz w:val="36"/>
          <w:szCs w:val="32"/>
          <w:highlight w:val="none"/>
        </w:rPr>
      </w:pPr>
      <w:r>
        <w:rPr>
          <w:rFonts w:ascii="华文中宋" w:hAnsi="华文中宋" w:eastAsia="华文中宋"/>
          <w:b/>
          <w:bCs/>
          <w:color w:val="auto"/>
          <w:spacing w:val="-10"/>
          <w:sz w:val="36"/>
          <w:szCs w:val="32"/>
          <w:highlight w:val="none"/>
        </w:rPr>
        <w:t>20</w:t>
      </w:r>
      <w:r>
        <w:rPr>
          <w:rFonts w:hint="eastAsia" w:ascii="华文中宋" w:hAnsi="华文中宋" w:eastAsia="华文中宋"/>
          <w:b/>
          <w:bCs/>
          <w:color w:val="auto"/>
          <w:spacing w:val="-10"/>
          <w:sz w:val="36"/>
          <w:szCs w:val="32"/>
          <w:highlight w:val="none"/>
        </w:rPr>
        <w:t>20</w:t>
      </w:r>
      <w:r>
        <w:rPr>
          <w:rFonts w:ascii="华文中宋" w:hAnsi="华文中宋" w:eastAsia="华文中宋"/>
          <w:b/>
          <w:bCs/>
          <w:color w:val="auto"/>
          <w:spacing w:val="-10"/>
          <w:sz w:val="36"/>
          <w:szCs w:val="32"/>
          <w:highlight w:val="none"/>
        </w:rPr>
        <w:t>年推荐免试研究生复试细则及时间安排</w:t>
      </w:r>
    </w:p>
    <w:p>
      <w:pPr>
        <w:spacing w:line="440" w:lineRule="exact"/>
        <w:ind w:firstLine="470" w:firstLineChars="196"/>
        <w:rPr>
          <w:color w:val="auto"/>
          <w:sz w:val="24"/>
          <w:highlight w:val="none"/>
        </w:rPr>
      </w:pPr>
    </w:p>
    <w:p>
      <w:pPr>
        <w:spacing w:line="440" w:lineRule="exact"/>
        <w:ind w:firstLine="470" w:firstLineChars="196"/>
        <w:rPr>
          <w:color w:val="auto"/>
          <w:sz w:val="24"/>
          <w:highlight w:val="none"/>
        </w:rPr>
      </w:pPr>
      <w:r>
        <w:rPr>
          <w:color w:val="auto"/>
          <w:sz w:val="24"/>
          <w:highlight w:val="none"/>
        </w:rPr>
        <w:t>根据《</w:t>
      </w:r>
      <w:r>
        <w:rPr>
          <w:rFonts w:hint="eastAsia"/>
          <w:color w:val="auto"/>
          <w:sz w:val="24"/>
          <w:highlight w:val="none"/>
        </w:rPr>
        <w:t>关于做好2020年推荐优秀应届本科毕业生免试攻读研究生工作的通知</w:t>
      </w:r>
      <w:r>
        <w:rPr>
          <w:color w:val="auto"/>
          <w:sz w:val="24"/>
          <w:highlight w:val="none"/>
        </w:rPr>
        <w:t>》（河海校科教</w:t>
      </w:r>
      <w:r>
        <w:rPr>
          <w:rFonts w:hint="eastAsia"/>
          <w:color w:val="auto"/>
          <w:sz w:val="24"/>
          <w:highlight w:val="none"/>
        </w:rPr>
        <w:t>〔2019〕54号</w:t>
      </w:r>
      <w:r>
        <w:rPr>
          <w:color w:val="auto"/>
          <w:sz w:val="24"/>
          <w:highlight w:val="none"/>
        </w:rPr>
        <w:t>）文件精神及学校工作会议要求，结合我院实际情况，制定20</w:t>
      </w:r>
      <w:r>
        <w:rPr>
          <w:rFonts w:hint="eastAsia"/>
          <w:color w:val="auto"/>
          <w:sz w:val="24"/>
          <w:highlight w:val="none"/>
        </w:rPr>
        <w:t>20</w:t>
      </w:r>
      <w:r>
        <w:rPr>
          <w:color w:val="auto"/>
          <w:sz w:val="24"/>
          <w:highlight w:val="none"/>
        </w:rPr>
        <w:t>年推荐免试研究生复试细则及时间安排</w:t>
      </w:r>
      <w:r>
        <w:rPr>
          <w:rFonts w:hint="eastAsia"/>
          <w:color w:val="auto"/>
          <w:sz w:val="24"/>
          <w:highlight w:val="none"/>
        </w:rPr>
        <w:t>。</w:t>
      </w:r>
    </w:p>
    <w:p>
      <w:pPr>
        <w:spacing w:before="156" w:beforeLines="50" w:line="440" w:lineRule="exact"/>
        <w:rPr>
          <w:b/>
          <w:bCs/>
          <w:color w:val="auto"/>
          <w:sz w:val="24"/>
          <w:highlight w:val="none"/>
        </w:rPr>
      </w:pPr>
      <w:r>
        <w:rPr>
          <w:rFonts w:hAnsi="宋体"/>
          <w:b/>
          <w:bCs/>
          <w:color w:val="auto"/>
          <w:sz w:val="24"/>
          <w:highlight w:val="none"/>
        </w:rPr>
        <w:t>一、复试工作原则</w:t>
      </w:r>
    </w:p>
    <w:p>
      <w:pPr>
        <w:spacing w:line="440" w:lineRule="exact"/>
        <w:ind w:firstLine="460" w:firstLineChars="192"/>
        <w:rPr>
          <w:color w:val="auto"/>
          <w:sz w:val="24"/>
          <w:highlight w:val="none"/>
        </w:rPr>
      </w:pPr>
      <w:r>
        <w:rPr>
          <w:color w:val="auto"/>
          <w:sz w:val="24"/>
          <w:highlight w:val="none"/>
        </w:rPr>
        <w:t>1</w:t>
      </w:r>
      <w:r>
        <w:rPr>
          <w:rFonts w:hAnsi="宋体"/>
          <w:color w:val="auto"/>
          <w:sz w:val="24"/>
          <w:highlight w:val="none"/>
        </w:rPr>
        <w:t>、坚持科学选拔，择优录取综合素质高、科研能力强的优秀毕业生，确保生源质量，宁缺勿滥。</w:t>
      </w:r>
    </w:p>
    <w:p>
      <w:pPr>
        <w:spacing w:line="440" w:lineRule="exact"/>
        <w:ind w:firstLine="460" w:firstLineChars="192"/>
        <w:rPr>
          <w:color w:val="auto"/>
          <w:sz w:val="24"/>
          <w:highlight w:val="none"/>
        </w:rPr>
      </w:pPr>
      <w:r>
        <w:rPr>
          <w:color w:val="auto"/>
          <w:sz w:val="24"/>
          <w:highlight w:val="none"/>
        </w:rPr>
        <w:t>2</w:t>
      </w:r>
      <w:r>
        <w:rPr>
          <w:rFonts w:hAnsi="宋体"/>
          <w:color w:val="auto"/>
          <w:sz w:val="24"/>
          <w:highlight w:val="none"/>
        </w:rPr>
        <w:t>、坚持公开、公平、公正。做到政策透明、程序公正、结果公开、监督机制健全，维护申请学生的合法权益。</w:t>
      </w:r>
    </w:p>
    <w:p>
      <w:pPr>
        <w:spacing w:line="440" w:lineRule="exact"/>
        <w:ind w:firstLine="460" w:firstLineChars="192"/>
        <w:rPr>
          <w:color w:val="auto"/>
          <w:sz w:val="24"/>
          <w:highlight w:val="none"/>
        </w:rPr>
      </w:pPr>
      <w:r>
        <w:rPr>
          <w:color w:val="auto"/>
          <w:sz w:val="24"/>
          <w:highlight w:val="none"/>
        </w:rPr>
        <w:t>3</w:t>
      </w:r>
      <w:r>
        <w:rPr>
          <w:rFonts w:hAnsi="宋体"/>
          <w:color w:val="auto"/>
          <w:sz w:val="24"/>
          <w:highlight w:val="none"/>
        </w:rPr>
        <w:t>、坚持全面考查，突出重点。在对考生德智体等各方面全面考察基础上，突出对专业素质、实践能力以及创新能力等方面的考核。</w:t>
      </w:r>
    </w:p>
    <w:p>
      <w:pPr>
        <w:spacing w:line="400" w:lineRule="exact"/>
        <w:ind w:firstLine="480" w:firstLineChars="200"/>
        <w:rPr>
          <w:color w:val="auto"/>
          <w:sz w:val="24"/>
          <w:highlight w:val="none"/>
        </w:rPr>
      </w:pPr>
      <w:r>
        <w:rPr>
          <w:color w:val="auto"/>
          <w:sz w:val="24"/>
          <w:highlight w:val="none"/>
        </w:rPr>
        <w:t>4</w:t>
      </w:r>
      <w:r>
        <w:rPr>
          <w:rFonts w:hAnsi="宋体"/>
          <w:color w:val="auto"/>
          <w:sz w:val="24"/>
          <w:highlight w:val="none"/>
        </w:rPr>
        <w:t>、坚持客观评价。</w:t>
      </w:r>
    </w:p>
    <w:p>
      <w:pPr>
        <w:spacing w:line="440" w:lineRule="exact"/>
        <w:rPr>
          <w:b/>
          <w:bCs/>
          <w:color w:val="auto"/>
          <w:sz w:val="24"/>
          <w:highlight w:val="none"/>
        </w:rPr>
      </w:pPr>
      <w:r>
        <w:rPr>
          <w:rFonts w:hAnsi="宋体"/>
          <w:b/>
          <w:bCs/>
          <w:color w:val="auto"/>
          <w:sz w:val="24"/>
          <w:highlight w:val="none"/>
        </w:rPr>
        <w:t>二、复试工作组织</w:t>
      </w:r>
    </w:p>
    <w:p>
      <w:pPr>
        <w:spacing w:line="440" w:lineRule="exact"/>
        <w:ind w:firstLine="470" w:firstLineChars="196"/>
        <w:rPr>
          <w:b/>
          <w:bCs/>
          <w:color w:val="auto"/>
          <w:sz w:val="24"/>
          <w:highlight w:val="none"/>
        </w:rPr>
      </w:pPr>
      <w:r>
        <w:rPr>
          <w:color w:val="auto"/>
          <w:sz w:val="24"/>
          <w:highlight w:val="none"/>
        </w:rPr>
        <w:t>为做好推免生复试工作，我院特成立推荐免试研究生工作</w:t>
      </w:r>
      <w:r>
        <w:rPr>
          <w:rFonts w:hint="eastAsia"/>
          <w:color w:val="auto"/>
          <w:sz w:val="24"/>
          <w:highlight w:val="none"/>
        </w:rPr>
        <w:t>领导</w:t>
      </w:r>
      <w:r>
        <w:rPr>
          <w:color w:val="auto"/>
          <w:sz w:val="24"/>
          <w:highlight w:val="none"/>
        </w:rPr>
        <w:t>小组，负责领导、协调全院的推免</w:t>
      </w:r>
      <w:r>
        <w:rPr>
          <w:rFonts w:hint="eastAsia"/>
          <w:color w:val="auto"/>
          <w:sz w:val="24"/>
          <w:highlight w:val="none"/>
        </w:rPr>
        <w:t>生</w:t>
      </w:r>
      <w:r>
        <w:rPr>
          <w:color w:val="auto"/>
          <w:sz w:val="24"/>
          <w:highlight w:val="none"/>
        </w:rPr>
        <w:t>复试工作，对学院</w:t>
      </w:r>
      <w:r>
        <w:rPr>
          <w:rFonts w:hint="eastAsia"/>
          <w:color w:val="auto"/>
          <w:sz w:val="24"/>
          <w:highlight w:val="none"/>
        </w:rPr>
        <w:t>复试</w:t>
      </w:r>
      <w:r>
        <w:rPr>
          <w:color w:val="auto"/>
          <w:sz w:val="24"/>
          <w:highlight w:val="none"/>
        </w:rPr>
        <w:t>录取工作进行监督，保证复试</w:t>
      </w:r>
      <w:r>
        <w:rPr>
          <w:rFonts w:hint="eastAsia"/>
          <w:color w:val="auto"/>
          <w:sz w:val="24"/>
          <w:highlight w:val="none"/>
        </w:rPr>
        <w:t>录取</w:t>
      </w:r>
      <w:r>
        <w:rPr>
          <w:color w:val="auto"/>
          <w:sz w:val="24"/>
          <w:highlight w:val="none"/>
        </w:rPr>
        <w:t>工作公开、公平、</w:t>
      </w:r>
      <w:r>
        <w:rPr>
          <w:rFonts w:hint="eastAsia"/>
          <w:color w:val="auto"/>
          <w:sz w:val="24"/>
          <w:highlight w:val="none"/>
        </w:rPr>
        <w:t>公正</w:t>
      </w:r>
      <w:r>
        <w:rPr>
          <w:color w:val="auto"/>
          <w:sz w:val="24"/>
          <w:highlight w:val="none"/>
        </w:rPr>
        <w:t>进行。</w:t>
      </w:r>
    </w:p>
    <w:p>
      <w:pPr>
        <w:spacing w:line="440" w:lineRule="exact"/>
        <w:rPr>
          <w:b/>
          <w:bCs/>
          <w:color w:val="auto"/>
          <w:sz w:val="24"/>
          <w:highlight w:val="none"/>
        </w:rPr>
      </w:pPr>
      <w:r>
        <w:rPr>
          <w:rFonts w:hAnsi="宋体"/>
          <w:b/>
          <w:bCs/>
          <w:color w:val="auto"/>
          <w:sz w:val="24"/>
          <w:highlight w:val="none"/>
        </w:rPr>
        <w:t>三、复试要求</w:t>
      </w:r>
    </w:p>
    <w:p>
      <w:pPr>
        <w:spacing w:line="440" w:lineRule="exact"/>
        <w:ind w:firstLine="460" w:firstLineChars="192"/>
        <w:rPr>
          <w:color w:val="auto"/>
          <w:sz w:val="24"/>
          <w:highlight w:val="none"/>
        </w:rPr>
      </w:pPr>
      <w:r>
        <w:rPr>
          <w:color w:val="auto"/>
          <w:sz w:val="24"/>
          <w:highlight w:val="none"/>
        </w:rPr>
        <w:t xml:space="preserve"> 1、参加我院复试的学生，需提供以下材料：</w:t>
      </w:r>
    </w:p>
    <w:p>
      <w:pPr>
        <w:spacing w:line="440" w:lineRule="exact"/>
        <w:ind w:firstLine="460" w:firstLineChars="192"/>
        <w:rPr>
          <w:color w:val="auto"/>
          <w:sz w:val="24"/>
          <w:highlight w:val="none"/>
        </w:rPr>
      </w:pPr>
      <w:r>
        <w:rPr>
          <w:rFonts w:hint="eastAsia"/>
          <w:color w:val="auto"/>
          <w:sz w:val="24"/>
          <w:highlight w:val="none"/>
        </w:rPr>
        <w:t>（1）《河海大学2020年接收推荐免试研究生申请表》（预报名系统打印）原件；</w:t>
      </w:r>
    </w:p>
    <w:p>
      <w:pPr>
        <w:spacing w:line="440" w:lineRule="exact"/>
        <w:ind w:firstLine="460" w:firstLineChars="192"/>
        <w:rPr>
          <w:color w:val="auto"/>
          <w:sz w:val="24"/>
          <w:highlight w:val="none"/>
        </w:rPr>
      </w:pPr>
      <w:r>
        <w:rPr>
          <w:rFonts w:hint="eastAsia"/>
          <w:color w:val="auto"/>
          <w:sz w:val="24"/>
          <w:highlight w:val="none"/>
        </w:rPr>
        <w:t xml:space="preserve">（2）大学本科阶段成绩单原件，须加盖学校教务处或院系公章（校内考生不需再提供）；   </w:t>
      </w:r>
    </w:p>
    <w:p>
      <w:pPr>
        <w:spacing w:line="440" w:lineRule="exact"/>
        <w:ind w:firstLine="460" w:firstLineChars="192"/>
        <w:rPr>
          <w:color w:val="auto"/>
          <w:sz w:val="24"/>
          <w:highlight w:val="none"/>
        </w:rPr>
      </w:pPr>
      <w:r>
        <w:rPr>
          <w:rFonts w:hint="eastAsia"/>
          <w:color w:val="auto"/>
          <w:sz w:val="24"/>
          <w:highlight w:val="none"/>
        </w:rPr>
        <w:t>（3）本人有效身份证件和学生证复印件，原件备查；</w:t>
      </w:r>
    </w:p>
    <w:p>
      <w:pPr>
        <w:spacing w:line="440" w:lineRule="exact"/>
        <w:ind w:firstLine="460" w:firstLineChars="192"/>
        <w:rPr>
          <w:color w:val="auto"/>
          <w:sz w:val="24"/>
          <w:highlight w:val="none"/>
        </w:rPr>
      </w:pPr>
      <w:r>
        <w:rPr>
          <w:rFonts w:hint="eastAsia"/>
          <w:color w:val="auto"/>
          <w:sz w:val="24"/>
          <w:highlight w:val="none"/>
        </w:rPr>
        <w:t>（4）外语水平证明（如CET-4、CET-6、TOEFL、IELTS等的证书或成绩单复印件）、计算机水平证明，原件备查；</w:t>
      </w:r>
    </w:p>
    <w:p>
      <w:pPr>
        <w:spacing w:line="440" w:lineRule="exact"/>
        <w:ind w:firstLine="460" w:firstLineChars="192"/>
        <w:rPr>
          <w:color w:val="auto"/>
          <w:sz w:val="24"/>
          <w:highlight w:val="none"/>
        </w:rPr>
      </w:pPr>
      <w:r>
        <w:rPr>
          <w:color w:val="auto"/>
          <w:sz w:val="24"/>
          <w:highlight w:val="none"/>
        </w:rPr>
        <w:t>（5）公开发表的学术性论文、</w:t>
      </w:r>
      <w:r>
        <w:rPr>
          <w:rFonts w:hint="eastAsia"/>
          <w:color w:val="auto"/>
          <w:sz w:val="24"/>
          <w:highlight w:val="none"/>
        </w:rPr>
        <w:t>专利、</w:t>
      </w:r>
      <w:r>
        <w:rPr>
          <w:color w:val="auto"/>
          <w:sz w:val="24"/>
          <w:highlight w:val="none"/>
        </w:rPr>
        <w:t>出版物或取得具有学术水平的工作成果的复印件或证明信</w:t>
      </w:r>
      <w:r>
        <w:rPr>
          <w:rFonts w:hint="eastAsia"/>
          <w:color w:val="auto"/>
          <w:sz w:val="24"/>
          <w:highlight w:val="none"/>
        </w:rPr>
        <w:t>，原件备查；</w:t>
      </w:r>
    </w:p>
    <w:p>
      <w:pPr>
        <w:spacing w:line="440" w:lineRule="exact"/>
        <w:ind w:firstLine="460" w:firstLineChars="192"/>
        <w:rPr>
          <w:color w:val="auto"/>
          <w:sz w:val="24"/>
          <w:highlight w:val="none"/>
        </w:rPr>
      </w:pPr>
      <w:r>
        <w:rPr>
          <w:color w:val="auto"/>
          <w:sz w:val="24"/>
          <w:highlight w:val="none"/>
        </w:rPr>
        <w:t>（6）参与社会工作、志愿服务等活动的证明材料。</w:t>
      </w:r>
    </w:p>
    <w:p>
      <w:pPr>
        <w:pStyle w:val="2"/>
        <w:rPr>
          <w:rFonts w:ascii="Times New Roman" w:hAnsi="Times New Roman"/>
          <w:color w:val="auto"/>
          <w:highlight w:val="none"/>
        </w:rPr>
      </w:pPr>
      <w:r>
        <w:rPr>
          <w:rFonts w:hint="eastAsia" w:ascii="Times New Roman" w:hAnsi="Times New Roman"/>
          <w:color w:val="auto"/>
          <w:highlight w:val="none"/>
        </w:rPr>
        <w:t>请将以上材料按顺序装订成册。一经提交，恕不退还。</w:t>
      </w:r>
    </w:p>
    <w:p>
      <w:pPr>
        <w:pStyle w:val="2"/>
        <w:rPr>
          <w:rFonts w:ascii="Times New Roman" w:hAnsi="Times New Roman"/>
          <w:color w:val="auto"/>
          <w:highlight w:val="none"/>
        </w:rPr>
      </w:pPr>
      <w:r>
        <w:rPr>
          <w:rFonts w:ascii="Times New Roman" w:hAnsi="Times New Roman"/>
          <w:color w:val="auto"/>
          <w:highlight w:val="none"/>
        </w:rPr>
        <w:t>2</w:t>
      </w:r>
      <w:r>
        <w:rPr>
          <w:rFonts w:ascii="Times New Roman"/>
          <w:color w:val="auto"/>
          <w:highlight w:val="none"/>
        </w:rPr>
        <w:t>、申请学生所提供的信息必须真实，如查出有不符事实的信息，取消其复试资格，并依照有关规定处理。</w:t>
      </w:r>
    </w:p>
    <w:p>
      <w:pPr>
        <w:spacing w:line="440" w:lineRule="exact"/>
        <w:rPr>
          <w:b/>
          <w:bCs/>
          <w:color w:val="auto"/>
          <w:sz w:val="24"/>
          <w:highlight w:val="none"/>
        </w:rPr>
      </w:pPr>
      <w:r>
        <w:rPr>
          <w:rFonts w:hAnsi="宋体"/>
          <w:b/>
          <w:bCs/>
          <w:color w:val="auto"/>
          <w:sz w:val="24"/>
          <w:highlight w:val="none"/>
        </w:rPr>
        <w:t>四、考核内容及复试方式</w:t>
      </w:r>
    </w:p>
    <w:p>
      <w:pPr>
        <w:spacing w:line="440" w:lineRule="exact"/>
        <w:ind w:firstLine="480" w:firstLineChars="200"/>
        <w:rPr>
          <w:color w:val="auto"/>
          <w:sz w:val="24"/>
          <w:highlight w:val="none"/>
        </w:rPr>
      </w:pPr>
      <w:r>
        <w:rPr>
          <w:color w:val="auto"/>
          <w:sz w:val="24"/>
          <w:highlight w:val="none"/>
        </w:rPr>
        <w:t>1</w:t>
      </w:r>
      <w:r>
        <w:rPr>
          <w:rFonts w:hAnsi="宋体"/>
          <w:color w:val="auto"/>
          <w:sz w:val="24"/>
          <w:highlight w:val="none"/>
        </w:rPr>
        <w:t>、按照学校</w:t>
      </w:r>
      <w:r>
        <w:rPr>
          <w:rFonts w:hint="eastAsia" w:hAnsi="宋体"/>
          <w:color w:val="auto"/>
          <w:sz w:val="24"/>
          <w:highlight w:val="none"/>
        </w:rPr>
        <w:t>相关文件精神，</w:t>
      </w:r>
      <w:r>
        <w:rPr>
          <w:rFonts w:hAnsi="宋体"/>
          <w:color w:val="auto"/>
          <w:sz w:val="24"/>
          <w:highlight w:val="none"/>
        </w:rPr>
        <w:t>考核方式为考察与面试结合</w:t>
      </w:r>
      <w:r>
        <w:rPr>
          <w:rFonts w:hint="eastAsia" w:hAnsi="宋体"/>
          <w:color w:val="auto"/>
          <w:sz w:val="24"/>
          <w:highlight w:val="none"/>
        </w:rPr>
        <w:t>，</w:t>
      </w:r>
      <w:r>
        <w:rPr>
          <w:rFonts w:hAnsi="宋体"/>
          <w:color w:val="auto"/>
          <w:sz w:val="24"/>
          <w:highlight w:val="none"/>
        </w:rPr>
        <w:t>包括外语测试和综合面试两部分。主要考核学生的外语水平、学术能力与综合素质。</w:t>
      </w:r>
    </w:p>
    <w:p>
      <w:pPr>
        <w:spacing w:line="440" w:lineRule="exact"/>
        <w:ind w:firstLine="482" w:firstLineChars="200"/>
        <w:rPr>
          <w:color w:val="auto"/>
          <w:sz w:val="24"/>
          <w:highlight w:val="none"/>
        </w:rPr>
      </w:pPr>
      <w:r>
        <w:rPr>
          <w:rFonts w:hAnsi="宋体"/>
          <w:b/>
          <w:color w:val="auto"/>
          <w:sz w:val="24"/>
          <w:highlight w:val="none"/>
        </w:rPr>
        <w:t>外语水平：</w:t>
      </w:r>
      <w:r>
        <w:rPr>
          <w:rFonts w:hAnsi="宋体"/>
          <w:color w:val="auto"/>
          <w:sz w:val="24"/>
          <w:highlight w:val="none"/>
        </w:rPr>
        <w:t>重点考察考生的外语基础、专业外语水平和外语表达与沟通能力。</w:t>
      </w:r>
    </w:p>
    <w:p>
      <w:pPr>
        <w:spacing w:line="440" w:lineRule="exact"/>
        <w:ind w:firstLine="482" w:firstLineChars="200"/>
        <w:rPr>
          <w:color w:val="auto"/>
          <w:sz w:val="24"/>
          <w:highlight w:val="none"/>
        </w:rPr>
      </w:pPr>
      <w:r>
        <w:rPr>
          <w:rFonts w:hAnsi="宋体"/>
          <w:b/>
          <w:color w:val="auto"/>
          <w:sz w:val="24"/>
          <w:highlight w:val="none"/>
        </w:rPr>
        <w:t>学术能力：</w:t>
      </w:r>
      <w:r>
        <w:rPr>
          <w:rFonts w:hAnsi="宋体"/>
          <w:color w:val="auto"/>
          <w:sz w:val="24"/>
          <w:highlight w:val="none"/>
        </w:rPr>
        <w:t>对学术型研究生重点考察考生专业知识、科研能力和创新能力；对专业学位研究生突出对考生实践能力和职业发展能力等方面的考察。</w:t>
      </w:r>
    </w:p>
    <w:p>
      <w:pPr>
        <w:spacing w:line="440" w:lineRule="exact"/>
        <w:ind w:firstLine="482" w:firstLineChars="200"/>
        <w:rPr>
          <w:color w:val="auto"/>
          <w:sz w:val="24"/>
          <w:highlight w:val="none"/>
        </w:rPr>
      </w:pPr>
      <w:r>
        <w:rPr>
          <w:rFonts w:hAnsi="宋体"/>
          <w:b/>
          <w:color w:val="auto"/>
          <w:sz w:val="24"/>
          <w:highlight w:val="none"/>
        </w:rPr>
        <w:t>综合素质：</w:t>
      </w:r>
      <w:r>
        <w:rPr>
          <w:rFonts w:hAnsi="宋体"/>
          <w:color w:val="auto"/>
          <w:sz w:val="24"/>
          <w:highlight w:val="none"/>
        </w:rPr>
        <w:t>重点考察考生的思想政治</w:t>
      </w:r>
      <w:r>
        <w:rPr>
          <w:rFonts w:hint="eastAsia" w:hAnsi="宋体"/>
          <w:color w:val="auto"/>
          <w:sz w:val="24"/>
          <w:highlight w:val="none"/>
        </w:rPr>
        <w:t>素质</w:t>
      </w:r>
      <w:r>
        <w:rPr>
          <w:rFonts w:hAnsi="宋体"/>
          <w:color w:val="auto"/>
          <w:sz w:val="24"/>
          <w:highlight w:val="none"/>
        </w:rPr>
        <w:t>、心理健康、社会活动、诚信以及专业契合度等方面。</w:t>
      </w:r>
    </w:p>
    <w:p>
      <w:pPr>
        <w:spacing w:line="440" w:lineRule="exact"/>
        <w:ind w:firstLine="480" w:firstLineChars="200"/>
        <w:rPr>
          <w:color w:val="auto"/>
          <w:sz w:val="24"/>
          <w:highlight w:val="none"/>
        </w:rPr>
      </w:pPr>
      <w:r>
        <w:rPr>
          <w:color w:val="auto"/>
          <w:sz w:val="24"/>
          <w:highlight w:val="none"/>
        </w:rPr>
        <w:t>2</w:t>
      </w:r>
      <w:r>
        <w:rPr>
          <w:rFonts w:hAnsi="宋体"/>
          <w:color w:val="auto"/>
          <w:sz w:val="24"/>
          <w:highlight w:val="none"/>
        </w:rPr>
        <w:t>、复试成绩采取百分制。其中外语水平占</w:t>
      </w:r>
      <w:r>
        <w:rPr>
          <w:color w:val="auto"/>
          <w:sz w:val="24"/>
          <w:highlight w:val="none"/>
        </w:rPr>
        <w:t>2</w:t>
      </w:r>
      <w:r>
        <w:rPr>
          <w:rFonts w:hint="eastAsia"/>
          <w:color w:val="auto"/>
          <w:sz w:val="24"/>
          <w:highlight w:val="none"/>
        </w:rPr>
        <w:t>5</w:t>
      </w:r>
      <w:r>
        <w:rPr>
          <w:color w:val="auto"/>
          <w:sz w:val="24"/>
          <w:highlight w:val="none"/>
        </w:rPr>
        <w:t>%</w:t>
      </w:r>
      <w:r>
        <w:rPr>
          <w:rFonts w:hAnsi="宋体"/>
          <w:color w:val="auto"/>
          <w:sz w:val="24"/>
          <w:highlight w:val="none"/>
        </w:rPr>
        <w:t>（</w:t>
      </w:r>
      <w:r>
        <w:rPr>
          <w:color w:val="auto"/>
          <w:sz w:val="24"/>
          <w:highlight w:val="none"/>
        </w:rPr>
        <w:t>X</w:t>
      </w:r>
      <w:r>
        <w:rPr>
          <w:rFonts w:hAnsi="宋体"/>
          <w:color w:val="auto"/>
          <w:sz w:val="24"/>
          <w:highlight w:val="none"/>
        </w:rPr>
        <w:t>），学术能力占</w:t>
      </w:r>
      <w:r>
        <w:rPr>
          <w:rFonts w:hint="eastAsia"/>
          <w:color w:val="auto"/>
          <w:sz w:val="24"/>
          <w:highlight w:val="none"/>
        </w:rPr>
        <w:t>55</w:t>
      </w:r>
      <w:r>
        <w:rPr>
          <w:color w:val="auto"/>
          <w:sz w:val="24"/>
          <w:highlight w:val="none"/>
        </w:rPr>
        <w:t>%</w:t>
      </w:r>
      <w:r>
        <w:rPr>
          <w:rFonts w:hAnsi="宋体"/>
          <w:color w:val="auto"/>
          <w:sz w:val="24"/>
          <w:highlight w:val="none"/>
        </w:rPr>
        <w:t>（</w:t>
      </w:r>
      <w:r>
        <w:rPr>
          <w:color w:val="auto"/>
          <w:sz w:val="24"/>
          <w:highlight w:val="none"/>
        </w:rPr>
        <w:t>Y</w:t>
      </w:r>
      <w:r>
        <w:rPr>
          <w:rFonts w:hAnsi="宋体"/>
          <w:color w:val="auto"/>
          <w:sz w:val="24"/>
          <w:highlight w:val="none"/>
        </w:rPr>
        <w:t>），综合素质占</w:t>
      </w:r>
      <w:r>
        <w:rPr>
          <w:color w:val="auto"/>
          <w:sz w:val="24"/>
          <w:highlight w:val="none"/>
        </w:rPr>
        <w:t>20%</w:t>
      </w:r>
      <w:r>
        <w:rPr>
          <w:rFonts w:hAnsi="宋体"/>
          <w:color w:val="auto"/>
          <w:sz w:val="24"/>
          <w:highlight w:val="none"/>
        </w:rPr>
        <w:t>（</w:t>
      </w:r>
      <w:r>
        <w:rPr>
          <w:color w:val="auto"/>
          <w:sz w:val="24"/>
          <w:highlight w:val="none"/>
        </w:rPr>
        <w:t>Z</w:t>
      </w:r>
      <w:r>
        <w:rPr>
          <w:rFonts w:hAnsi="宋体"/>
          <w:color w:val="auto"/>
          <w:sz w:val="24"/>
          <w:highlight w:val="none"/>
        </w:rPr>
        <w:t>）。其中思想政治不合格采取一票否决。</w:t>
      </w:r>
    </w:p>
    <w:p>
      <w:pPr>
        <w:spacing w:line="440" w:lineRule="exact"/>
        <w:rPr>
          <w:rFonts w:hint="eastAsia" w:hAnsi="宋体"/>
          <w:b/>
          <w:bCs/>
          <w:color w:val="auto"/>
          <w:sz w:val="24"/>
          <w:highlight w:val="none"/>
        </w:rPr>
      </w:pPr>
      <w:r>
        <w:rPr>
          <w:rFonts w:hAnsi="宋体"/>
          <w:b/>
          <w:bCs/>
          <w:color w:val="auto"/>
          <w:sz w:val="24"/>
          <w:highlight w:val="none"/>
        </w:rPr>
        <w:t>五、复试时间</w:t>
      </w:r>
      <w:r>
        <w:rPr>
          <w:rFonts w:hint="eastAsia" w:hAnsi="宋体"/>
          <w:b/>
          <w:bCs/>
          <w:color w:val="auto"/>
          <w:sz w:val="24"/>
          <w:highlight w:val="none"/>
        </w:rPr>
        <w:t>安排</w:t>
      </w:r>
    </w:p>
    <w:tbl>
      <w:tblPr>
        <w:tblStyle w:val="4"/>
        <w:tblW w:w="7632"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219"/>
        <w:gridCol w:w="13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vAlign w:val="center"/>
          </w:tcPr>
          <w:p>
            <w:pPr>
              <w:spacing w:line="440" w:lineRule="exact"/>
              <w:jc w:val="center"/>
              <w:rPr>
                <w:rFonts w:hint="eastAsia" w:asciiTheme="minorEastAsia" w:hAnsiTheme="minorEastAsia" w:eastAsiaTheme="minorEastAsia" w:cstheme="minorEastAsia"/>
                <w:b/>
                <w:bCs/>
                <w:color w:val="auto"/>
                <w:sz w:val="24"/>
                <w:highlight w:val="none"/>
                <w:vertAlign w:val="baseline"/>
                <w:lang w:eastAsia="zh-CN"/>
              </w:rPr>
            </w:pPr>
            <w:r>
              <w:rPr>
                <w:rFonts w:hint="eastAsia" w:asciiTheme="minorEastAsia" w:hAnsiTheme="minorEastAsia" w:eastAsiaTheme="minorEastAsia" w:cstheme="minorEastAsia"/>
                <w:b/>
                <w:bCs/>
                <w:color w:val="auto"/>
                <w:sz w:val="24"/>
                <w:highlight w:val="none"/>
                <w:vertAlign w:val="baseline"/>
                <w:lang w:eastAsia="zh-CN"/>
              </w:rPr>
              <w:t>事项</w:t>
            </w:r>
          </w:p>
        </w:tc>
        <w:tc>
          <w:tcPr>
            <w:tcW w:w="3219" w:type="dxa"/>
            <w:vAlign w:val="center"/>
          </w:tcPr>
          <w:p>
            <w:pPr>
              <w:spacing w:line="440" w:lineRule="exact"/>
              <w:jc w:val="center"/>
              <w:rPr>
                <w:rFonts w:hint="eastAsia" w:asciiTheme="minorEastAsia" w:hAnsiTheme="minorEastAsia" w:eastAsiaTheme="minorEastAsia" w:cstheme="minorEastAsia"/>
                <w:b/>
                <w:bCs/>
                <w:color w:val="auto"/>
                <w:sz w:val="24"/>
                <w:highlight w:val="none"/>
                <w:vertAlign w:val="baseline"/>
                <w:lang w:eastAsia="zh-CN"/>
              </w:rPr>
            </w:pPr>
            <w:r>
              <w:rPr>
                <w:rFonts w:hint="eastAsia" w:asciiTheme="minorEastAsia" w:hAnsiTheme="minorEastAsia" w:eastAsiaTheme="minorEastAsia" w:cstheme="minorEastAsia"/>
                <w:b/>
                <w:bCs/>
                <w:color w:val="auto"/>
                <w:sz w:val="24"/>
                <w:highlight w:val="none"/>
                <w:vertAlign w:val="baseline"/>
                <w:lang w:eastAsia="zh-CN"/>
              </w:rPr>
              <w:t>时间</w:t>
            </w:r>
          </w:p>
        </w:tc>
        <w:tc>
          <w:tcPr>
            <w:tcW w:w="1340" w:type="dxa"/>
            <w:vAlign w:val="center"/>
          </w:tcPr>
          <w:p>
            <w:pPr>
              <w:spacing w:line="440" w:lineRule="exact"/>
              <w:jc w:val="center"/>
              <w:rPr>
                <w:rFonts w:hint="eastAsia" w:asciiTheme="minorEastAsia" w:hAnsiTheme="minorEastAsia" w:eastAsiaTheme="minorEastAsia" w:cstheme="minorEastAsia"/>
                <w:b/>
                <w:bCs/>
                <w:color w:val="auto"/>
                <w:sz w:val="24"/>
                <w:highlight w:val="none"/>
                <w:vertAlign w:val="baseline"/>
                <w:lang w:eastAsia="zh-CN"/>
              </w:rPr>
            </w:pPr>
            <w:r>
              <w:rPr>
                <w:rFonts w:hint="eastAsia" w:asciiTheme="minorEastAsia" w:hAnsiTheme="minorEastAsia" w:eastAsiaTheme="minorEastAsia" w:cstheme="minorEastAsia"/>
                <w:b/>
                <w:bCs/>
                <w:color w:val="auto"/>
                <w:sz w:val="24"/>
                <w:highlight w:val="none"/>
                <w:vertAlign w:val="baseline"/>
                <w:lang w:eastAsia="zh-CN"/>
              </w:rPr>
              <w:t>地点</w:t>
            </w:r>
          </w:p>
        </w:tc>
        <w:tc>
          <w:tcPr>
            <w:tcW w:w="1681" w:type="dxa"/>
            <w:vAlign w:val="center"/>
          </w:tcPr>
          <w:p>
            <w:pPr>
              <w:spacing w:line="440" w:lineRule="exact"/>
              <w:jc w:val="center"/>
              <w:rPr>
                <w:rFonts w:hint="eastAsia" w:asciiTheme="minorEastAsia" w:hAnsiTheme="minorEastAsia" w:eastAsiaTheme="minorEastAsia" w:cstheme="minorEastAsia"/>
                <w:b/>
                <w:bCs/>
                <w:color w:val="auto"/>
                <w:sz w:val="24"/>
                <w:highlight w:val="none"/>
                <w:vertAlign w:val="baseline"/>
                <w:lang w:eastAsia="zh-CN"/>
              </w:rPr>
            </w:pPr>
            <w:r>
              <w:rPr>
                <w:rFonts w:hint="eastAsia" w:asciiTheme="minorEastAsia" w:hAnsiTheme="minorEastAsia" w:eastAsiaTheme="minorEastAsia" w:cstheme="minorEastAsia"/>
                <w:b/>
                <w:bCs/>
                <w:color w:val="auto"/>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lang w:eastAsia="zh-CN"/>
              </w:rPr>
            </w:pPr>
            <w:r>
              <w:rPr>
                <w:rFonts w:hint="eastAsia" w:asciiTheme="minorEastAsia" w:hAnsiTheme="minorEastAsia" w:eastAsiaTheme="minorEastAsia" w:cstheme="minorEastAsia"/>
                <w:b w:val="0"/>
                <w:bCs w:val="0"/>
                <w:color w:val="auto"/>
                <w:sz w:val="24"/>
                <w:highlight w:val="none"/>
                <w:vertAlign w:val="baseline"/>
                <w:lang w:eastAsia="zh-CN"/>
              </w:rPr>
              <w:t>报到</w:t>
            </w:r>
          </w:p>
        </w:tc>
        <w:tc>
          <w:tcPr>
            <w:tcW w:w="3219"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rPr>
            </w:pPr>
            <w:r>
              <w:rPr>
                <w:rFonts w:hint="eastAsia" w:asciiTheme="minorEastAsia" w:hAnsiTheme="minorEastAsia" w:eastAsiaTheme="minorEastAsia" w:cstheme="minorEastAsia"/>
                <w:b w:val="0"/>
                <w:bCs w:val="0"/>
                <w:color w:val="auto"/>
                <w:sz w:val="24"/>
                <w:highlight w:val="none"/>
                <w:lang w:val="en-US" w:eastAsia="zh-CN"/>
              </w:rPr>
              <w:t>2019年</w:t>
            </w:r>
            <w:r>
              <w:rPr>
                <w:rFonts w:hint="eastAsia" w:asciiTheme="minorEastAsia" w:hAnsiTheme="minorEastAsia" w:eastAsiaTheme="minorEastAsia" w:cstheme="minorEastAsia"/>
                <w:b w:val="0"/>
                <w:bCs w:val="0"/>
                <w:color w:val="auto"/>
                <w:sz w:val="24"/>
                <w:highlight w:val="none"/>
              </w:rPr>
              <w:t>9月</w:t>
            </w:r>
            <w:r>
              <w:rPr>
                <w:rFonts w:hint="eastAsia" w:asciiTheme="minorEastAsia" w:hAnsiTheme="minorEastAsia" w:eastAsiaTheme="minorEastAsia" w:cstheme="minorEastAsia"/>
                <w:b w:val="0"/>
                <w:bCs w:val="0"/>
                <w:color w:val="auto"/>
                <w:sz w:val="24"/>
                <w:highlight w:val="none"/>
                <w:lang w:val="en-US" w:eastAsia="zh-CN"/>
              </w:rPr>
              <w:t>25</w:t>
            </w:r>
            <w:r>
              <w:rPr>
                <w:rFonts w:hint="eastAsia" w:asciiTheme="minorEastAsia" w:hAnsiTheme="minorEastAsia" w:eastAsiaTheme="minorEastAsia" w:cstheme="minorEastAsia"/>
                <w:b w:val="0"/>
                <w:bCs w:val="0"/>
                <w:color w:val="auto"/>
                <w:sz w:val="24"/>
                <w:highlight w:val="none"/>
              </w:rPr>
              <w:t>日</w:t>
            </w:r>
            <w:r>
              <w:rPr>
                <w:rFonts w:hint="eastAsia" w:asciiTheme="minorEastAsia" w:hAnsiTheme="minorEastAsia" w:eastAsiaTheme="minorEastAsia" w:cstheme="minorEastAsia"/>
                <w:b w:val="0"/>
                <w:bCs w:val="0"/>
                <w:color w:val="auto"/>
                <w:sz w:val="24"/>
                <w:highlight w:val="none"/>
                <w:lang w:eastAsia="zh-CN"/>
              </w:rPr>
              <w:t>上午</w:t>
            </w:r>
            <w:r>
              <w:rPr>
                <w:rFonts w:hint="eastAsia" w:asciiTheme="minorEastAsia" w:hAnsiTheme="minorEastAsia" w:eastAsiaTheme="minorEastAsia" w:cstheme="minorEastAsia"/>
                <w:b w:val="0"/>
                <w:bCs w:val="0"/>
                <w:color w:val="auto"/>
                <w:sz w:val="24"/>
                <w:highlight w:val="none"/>
                <w:lang w:val="en-US" w:eastAsia="zh-CN"/>
              </w:rPr>
              <w:t>10</w:t>
            </w:r>
            <w:r>
              <w:rPr>
                <w:rFonts w:hint="eastAsia" w:asciiTheme="minorEastAsia" w:hAnsiTheme="minorEastAsia" w:eastAsiaTheme="minorEastAsia" w:cstheme="minorEastAsia"/>
                <w:b w:val="0"/>
                <w:bCs w:val="0"/>
                <w:color w:val="auto"/>
                <w:sz w:val="24"/>
                <w:highlight w:val="none"/>
              </w:rPr>
              <w:t>:00</w:t>
            </w:r>
          </w:p>
        </w:tc>
        <w:tc>
          <w:tcPr>
            <w:tcW w:w="1340"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rPr>
            </w:pPr>
            <w:r>
              <w:rPr>
                <w:rFonts w:hint="eastAsia" w:asciiTheme="minorEastAsia" w:hAnsiTheme="minorEastAsia" w:eastAsiaTheme="minorEastAsia" w:cstheme="minorEastAsia"/>
                <w:b w:val="0"/>
                <w:bCs w:val="0"/>
                <w:color w:val="auto"/>
                <w:sz w:val="24"/>
                <w:highlight w:val="none"/>
              </w:rPr>
              <w:t>严恺馆</w:t>
            </w:r>
            <w:r>
              <w:rPr>
                <w:rFonts w:hint="eastAsia" w:asciiTheme="minorEastAsia" w:hAnsiTheme="minorEastAsia" w:eastAsiaTheme="minorEastAsia" w:cstheme="minorEastAsia"/>
                <w:b w:val="0"/>
                <w:bCs w:val="0"/>
                <w:color w:val="auto"/>
                <w:sz w:val="24"/>
                <w:highlight w:val="none"/>
                <w:lang w:val="en-US" w:eastAsia="zh-CN"/>
              </w:rPr>
              <w:t>502</w:t>
            </w:r>
          </w:p>
        </w:tc>
        <w:tc>
          <w:tcPr>
            <w:tcW w:w="1681"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rPr>
            </w:pPr>
            <w:r>
              <w:rPr>
                <w:rFonts w:hint="eastAsia" w:asciiTheme="minorEastAsia" w:hAnsiTheme="minorEastAsia" w:eastAsiaTheme="minorEastAsia" w:cstheme="minorEastAsia"/>
                <w:b w:val="0"/>
                <w:bCs w:val="0"/>
                <w:color w:val="auto"/>
                <w:sz w:val="21"/>
                <w:szCs w:val="21"/>
                <w:highlight w:val="none"/>
              </w:rPr>
              <w:t>抽取面试顺序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lang w:eastAsia="zh-CN"/>
              </w:rPr>
            </w:pPr>
            <w:r>
              <w:rPr>
                <w:rFonts w:hint="eastAsia" w:asciiTheme="minorEastAsia" w:hAnsiTheme="minorEastAsia" w:eastAsiaTheme="minorEastAsia" w:cstheme="minorEastAsia"/>
                <w:b w:val="0"/>
                <w:bCs w:val="0"/>
                <w:color w:val="auto"/>
                <w:sz w:val="24"/>
                <w:highlight w:val="none"/>
                <w:vertAlign w:val="baseline"/>
                <w:lang w:eastAsia="zh-CN"/>
              </w:rPr>
              <w:t>面试</w:t>
            </w:r>
          </w:p>
        </w:tc>
        <w:tc>
          <w:tcPr>
            <w:tcW w:w="3219"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rPr>
            </w:pPr>
            <w:r>
              <w:rPr>
                <w:rFonts w:hint="eastAsia" w:asciiTheme="minorEastAsia" w:hAnsiTheme="minorEastAsia" w:eastAsiaTheme="minorEastAsia" w:cstheme="minorEastAsia"/>
                <w:b w:val="0"/>
                <w:bCs w:val="0"/>
                <w:color w:val="auto"/>
                <w:sz w:val="24"/>
                <w:highlight w:val="none"/>
                <w:lang w:val="en-US" w:eastAsia="zh-CN"/>
              </w:rPr>
              <w:t>2019年</w:t>
            </w:r>
            <w:r>
              <w:rPr>
                <w:rFonts w:hint="eastAsia" w:asciiTheme="minorEastAsia" w:hAnsiTheme="minorEastAsia" w:eastAsiaTheme="minorEastAsia" w:cstheme="minorEastAsia"/>
                <w:b w:val="0"/>
                <w:bCs w:val="0"/>
                <w:color w:val="auto"/>
                <w:sz w:val="24"/>
                <w:highlight w:val="none"/>
              </w:rPr>
              <w:t>9月</w:t>
            </w:r>
            <w:r>
              <w:rPr>
                <w:rFonts w:hint="eastAsia" w:asciiTheme="minorEastAsia" w:hAnsiTheme="minorEastAsia" w:eastAsiaTheme="minorEastAsia" w:cstheme="minorEastAsia"/>
                <w:b w:val="0"/>
                <w:bCs w:val="0"/>
                <w:color w:val="auto"/>
                <w:sz w:val="24"/>
                <w:highlight w:val="none"/>
                <w:lang w:val="en-US" w:eastAsia="zh-CN"/>
              </w:rPr>
              <w:t>25</w:t>
            </w:r>
            <w:r>
              <w:rPr>
                <w:rFonts w:hint="eastAsia" w:asciiTheme="minorEastAsia" w:hAnsiTheme="minorEastAsia" w:eastAsiaTheme="minorEastAsia" w:cstheme="minorEastAsia"/>
                <w:b w:val="0"/>
                <w:bCs w:val="0"/>
                <w:color w:val="auto"/>
                <w:sz w:val="24"/>
                <w:highlight w:val="none"/>
              </w:rPr>
              <w:t>日下午</w:t>
            </w:r>
            <w:r>
              <w:rPr>
                <w:rFonts w:hint="eastAsia" w:asciiTheme="minorEastAsia" w:hAnsiTheme="minorEastAsia" w:eastAsiaTheme="minorEastAsia" w:cstheme="minorEastAsia"/>
                <w:b w:val="0"/>
                <w:bCs w:val="0"/>
                <w:color w:val="auto"/>
                <w:sz w:val="24"/>
                <w:highlight w:val="none"/>
                <w:lang w:val="en-US" w:eastAsia="zh-CN"/>
              </w:rPr>
              <w:t>14</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none"/>
                <w:lang w:val="en-US" w:eastAsia="zh-CN"/>
              </w:rPr>
              <w:t>0</w:t>
            </w:r>
            <w:r>
              <w:rPr>
                <w:rFonts w:hint="eastAsia" w:asciiTheme="minorEastAsia" w:hAnsiTheme="minorEastAsia" w:eastAsiaTheme="minorEastAsia" w:cstheme="minorEastAsia"/>
                <w:b w:val="0"/>
                <w:bCs w:val="0"/>
                <w:color w:val="auto"/>
                <w:sz w:val="24"/>
                <w:highlight w:val="none"/>
              </w:rPr>
              <w:t>0</w:t>
            </w:r>
          </w:p>
        </w:tc>
        <w:tc>
          <w:tcPr>
            <w:tcW w:w="1340" w:type="dxa"/>
            <w:vAlign w:val="center"/>
          </w:tcPr>
          <w:p>
            <w:pPr>
              <w:spacing w:line="440" w:lineRule="exact"/>
              <w:jc w:val="center"/>
              <w:rPr>
                <w:rFonts w:hint="eastAsia" w:asciiTheme="minorEastAsia" w:hAnsiTheme="minorEastAsia" w:eastAsiaTheme="minorEastAsia" w:cstheme="minorEastAsia"/>
                <w:b w:val="0"/>
                <w:bCs w:val="0"/>
                <w:color w:val="auto"/>
                <w:sz w:val="24"/>
                <w:highlight w:val="none"/>
                <w:vertAlign w:val="baseline"/>
              </w:rPr>
            </w:pPr>
            <w:r>
              <w:rPr>
                <w:rFonts w:hint="eastAsia" w:asciiTheme="minorEastAsia" w:hAnsiTheme="minorEastAsia" w:eastAsiaTheme="minorEastAsia" w:cstheme="minorEastAsia"/>
                <w:b w:val="0"/>
                <w:bCs w:val="0"/>
                <w:color w:val="auto"/>
                <w:sz w:val="24"/>
                <w:highlight w:val="none"/>
              </w:rPr>
              <w:t>严恺馆</w:t>
            </w:r>
            <w:r>
              <w:rPr>
                <w:rFonts w:hint="eastAsia" w:asciiTheme="minorEastAsia" w:hAnsiTheme="minorEastAsia" w:eastAsiaTheme="minorEastAsia" w:cstheme="minorEastAsia"/>
                <w:b w:val="0"/>
                <w:bCs w:val="0"/>
                <w:color w:val="auto"/>
                <w:sz w:val="24"/>
                <w:highlight w:val="none"/>
                <w:lang w:val="en-US" w:eastAsia="zh-CN"/>
              </w:rPr>
              <w:t>406</w:t>
            </w:r>
          </w:p>
        </w:tc>
        <w:tc>
          <w:tcPr>
            <w:tcW w:w="1681" w:type="dxa"/>
            <w:vAlign w:val="center"/>
          </w:tcPr>
          <w:p>
            <w:pPr>
              <w:spacing w:line="440" w:lineRule="exact"/>
              <w:jc w:val="center"/>
              <w:rPr>
                <w:rFonts w:hint="eastAsia" w:asciiTheme="minorEastAsia" w:hAnsiTheme="minorEastAsia" w:eastAsiaTheme="minorEastAsia" w:cstheme="minorEastAsia"/>
                <w:b w:val="0"/>
                <w:bCs w:val="0"/>
                <w:color w:val="auto"/>
                <w:sz w:val="16"/>
                <w:szCs w:val="16"/>
                <w:highlight w:val="none"/>
              </w:rPr>
            </w:pPr>
            <w:r>
              <w:rPr>
                <w:rFonts w:hint="eastAsia" w:asciiTheme="minorEastAsia" w:hAnsiTheme="minorEastAsia" w:eastAsiaTheme="minorEastAsia" w:cstheme="minorEastAsia"/>
                <w:b w:val="0"/>
                <w:bCs w:val="0"/>
                <w:color w:val="auto"/>
                <w:sz w:val="16"/>
                <w:szCs w:val="16"/>
                <w:highlight w:val="none"/>
                <w:lang w:val="en-US" w:eastAsia="zh-CN"/>
              </w:rPr>
              <w:t>学生13</w:t>
            </w:r>
            <w:r>
              <w:rPr>
                <w:rFonts w:hint="eastAsia" w:asciiTheme="minorEastAsia" w:hAnsiTheme="minorEastAsia" w:eastAsiaTheme="minorEastAsia" w:cstheme="minorEastAsia"/>
                <w:b w:val="0"/>
                <w:bCs w:val="0"/>
                <w:color w:val="auto"/>
                <w:sz w:val="16"/>
                <w:szCs w:val="16"/>
                <w:highlight w:val="none"/>
              </w:rPr>
              <w:t>:</w:t>
            </w:r>
            <w:r>
              <w:rPr>
                <w:rFonts w:hint="eastAsia" w:asciiTheme="minorEastAsia" w:hAnsiTheme="minorEastAsia" w:eastAsiaTheme="minorEastAsia" w:cstheme="minorEastAsia"/>
                <w:b w:val="0"/>
                <w:bCs w:val="0"/>
                <w:color w:val="auto"/>
                <w:sz w:val="16"/>
                <w:szCs w:val="16"/>
                <w:highlight w:val="none"/>
                <w:lang w:val="en-US" w:eastAsia="zh-CN"/>
              </w:rPr>
              <w:t>4</w:t>
            </w:r>
            <w:r>
              <w:rPr>
                <w:rFonts w:hint="eastAsia" w:asciiTheme="minorEastAsia" w:hAnsiTheme="minorEastAsia" w:eastAsiaTheme="minorEastAsia" w:cstheme="minorEastAsia"/>
                <w:b w:val="0"/>
                <w:bCs w:val="0"/>
                <w:color w:val="auto"/>
                <w:sz w:val="16"/>
                <w:szCs w:val="16"/>
                <w:highlight w:val="none"/>
              </w:rPr>
              <w:t>0</w:t>
            </w:r>
          </w:p>
          <w:p>
            <w:pPr>
              <w:spacing w:line="440" w:lineRule="exact"/>
              <w:jc w:val="center"/>
              <w:rPr>
                <w:rFonts w:hint="eastAsia" w:asciiTheme="minorEastAsia" w:hAnsiTheme="minorEastAsia" w:eastAsiaTheme="minorEastAsia" w:cstheme="minorEastAsia"/>
                <w:b w:val="0"/>
                <w:bCs w:val="0"/>
                <w:color w:val="auto"/>
                <w:sz w:val="24"/>
                <w:highlight w:val="none"/>
                <w:vertAlign w:val="baseline"/>
                <w:lang w:val="en-US" w:eastAsia="zh-CN"/>
              </w:rPr>
            </w:pPr>
            <w:r>
              <w:rPr>
                <w:rFonts w:hint="eastAsia" w:asciiTheme="minorEastAsia" w:hAnsiTheme="minorEastAsia" w:eastAsiaTheme="minorEastAsia" w:cstheme="minorEastAsia"/>
                <w:b w:val="0"/>
                <w:bCs w:val="0"/>
                <w:color w:val="auto"/>
                <w:sz w:val="16"/>
                <w:szCs w:val="16"/>
                <w:highlight w:val="none"/>
                <w:lang w:eastAsia="zh-CN"/>
              </w:rPr>
              <w:t>到</w:t>
            </w:r>
            <w:r>
              <w:rPr>
                <w:rFonts w:hint="eastAsia" w:asciiTheme="minorEastAsia" w:hAnsiTheme="minorEastAsia" w:eastAsiaTheme="minorEastAsia" w:cstheme="minorEastAsia"/>
                <w:b w:val="0"/>
                <w:bCs w:val="0"/>
                <w:color w:val="auto"/>
                <w:sz w:val="16"/>
                <w:szCs w:val="16"/>
                <w:highlight w:val="none"/>
              </w:rPr>
              <w:t>严恺馆</w:t>
            </w:r>
            <w:r>
              <w:rPr>
                <w:rFonts w:hint="eastAsia" w:asciiTheme="minorEastAsia" w:hAnsiTheme="minorEastAsia" w:eastAsiaTheme="minorEastAsia" w:cstheme="minorEastAsia"/>
                <w:b w:val="0"/>
                <w:bCs w:val="0"/>
                <w:color w:val="auto"/>
                <w:sz w:val="16"/>
                <w:szCs w:val="16"/>
                <w:highlight w:val="none"/>
                <w:lang w:val="en-US" w:eastAsia="zh-CN"/>
              </w:rPr>
              <w:t>502集中</w:t>
            </w:r>
          </w:p>
        </w:tc>
      </w:tr>
    </w:tbl>
    <w:p>
      <w:pPr>
        <w:spacing w:line="440" w:lineRule="exact"/>
        <w:rPr>
          <w:rFonts w:hAnsi="宋体"/>
          <w:b/>
          <w:bCs/>
          <w:color w:val="auto"/>
          <w:sz w:val="24"/>
          <w:highlight w:val="none"/>
        </w:rPr>
      </w:pPr>
      <w:r>
        <w:rPr>
          <w:rFonts w:hAnsi="宋体"/>
          <w:b/>
          <w:bCs/>
          <w:color w:val="auto"/>
          <w:sz w:val="24"/>
          <w:highlight w:val="none"/>
        </w:rPr>
        <w:t>六、其他</w:t>
      </w:r>
    </w:p>
    <w:p>
      <w:pPr>
        <w:widowControl/>
        <w:adjustRightInd w:val="0"/>
        <w:snapToGrid w:val="0"/>
        <w:jc w:val="center"/>
        <w:rPr>
          <w:rFonts w:hAnsi="宋体"/>
          <w:color w:val="auto"/>
          <w:sz w:val="24"/>
          <w:highlight w:val="none"/>
        </w:rPr>
      </w:pPr>
      <w:r>
        <w:rPr>
          <w:color w:val="auto"/>
          <w:sz w:val="24"/>
          <w:highlight w:val="none"/>
        </w:rPr>
        <w:t>1</w:t>
      </w:r>
      <w:r>
        <w:rPr>
          <w:rFonts w:hAnsi="宋体"/>
          <w:color w:val="auto"/>
          <w:sz w:val="24"/>
          <w:highlight w:val="none"/>
        </w:rPr>
        <w:t>、本细则中未提及事项按《</w:t>
      </w:r>
      <w:r>
        <w:rPr>
          <w:rFonts w:hint="eastAsia" w:hAnsi="宋体"/>
          <w:color w:val="auto"/>
          <w:sz w:val="24"/>
          <w:highlight w:val="none"/>
        </w:rPr>
        <w:t>关于做好2020年推荐优秀应届本科毕业生</w:t>
      </w:r>
    </w:p>
    <w:p>
      <w:pPr>
        <w:spacing w:line="440" w:lineRule="exact"/>
        <w:ind w:firstLine="480" w:firstLineChars="200"/>
        <w:rPr>
          <w:color w:val="auto"/>
          <w:sz w:val="24"/>
          <w:highlight w:val="none"/>
        </w:rPr>
      </w:pPr>
      <w:r>
        <w:rPr>
          <w:rFonts w:hint="eastAsia" w:hAnsi="宋体"/>
          <w:color w:val="auto"/>
          <w:sz w:val="24"/>
          <w:highlight w:val="none"/>
        </w:rPr>
        <w:t>免试攻读研究生工作的通知</w:t>
      </w:r>
      <w:r>
        <w:rPr>
          <w:rFonts w:hAnsi="宋体"/>
          <w:color w:val="auto"/>
          <w:sz w:val="24"/>
          <w:highlight w:val="none"/>
        </w:rPr>
        <w:t>》（河海校科教</w:t>
      </w:r>
      <w:r>
        <w:rPr>
          <w:rFonts w:hint="eastAsia" w:hAnsi="宋体"/>
          <w:color w:val="auto"/>
          <w:sz w:val="24"/>
          <w:highlight w:val="none"/>
        </w:rPr>
        <w:t>〔2019〕54号</w:t>
      </w:r>
      <w:r>
        <w:rPr>
          <w:rFonts w:hAnsi="宋体"/>
          <w:color w:val="auto"/>
          <w:sz w:val="24"/>
          <w:highlight w:val="none"/>
        </w:rPr>
        <w:t>）文件规定执行。</w:t>
      </w:r>
    </w:p>
    <w:p>
      <w:pPr>
        <w:spacing w:line="440" w:lineRule="exact"/>
        <w:ind w:firstLine="480" w:firstLineChars="200"/>
        <w:rPr>
          <w:rFonts w:hAnsi="宋体"/>
          <w:color w:val="auto"/>
          <w:sz w:val="24"/>
          <w:highlight w:val="none"/>
        </w:rPr>
      </w:pPr>
      <w:r>
        <w:rPr>
          <w:color w:val="auto"/>
          <w:sz w:val="24"/>
          <w:highlight w:val="none"/>
        </w:rPr>
        <w:t>2</w:t>
      </w:r>
      <w:r>
        <w:rPr>
          <w:rFonts w:hAnsi="宋体"/>
          <w:color w:val="auto"/>
          <w:sz w:val="24"/>
          <w:highlight w:val="none"/>
        </w:rPr>
        <w:t>、学院联系方式：</w:t>
      </w:r>
    </w:p>
    <w:p>
      <w:pPr>
        <w:spacing w:line="440" w:lineRule="exact"/>
        <w:ind w:firstLine="480" w:firstLineChars="200"/>
        <w:rPr>
          <w:rFonts w:hint="eastAsia" w:hAnsi="宋体"/>
          <w:color w:val="auto"/>
          <w:sz w:val="24"/>
          <w:highlight w:val="none"/>
        </w:rPr>
      </w:pPr>
      <w:r>
        <w:rPr>
          <w:rFonts w:hAnsi="宋体"/>
          <w:color w:val="auto"/>
          <w:sz w:val="24"/>
          <w:highlight w:val="none"/>
        </w:rPr>
        <w:t>学院联系方式</w:t>
      </w:r>
      <w:r>
        <w:rPr>
          <w:rFonts w:hint="eastAsia" w:hAnsi="宋体"/>
          <w:color w:val="auto"/>
          <w:sz w:val="24"/>
          <w:highlight w:val="none"/>
        </w:rPr>
        <w:t xml:space="preserve">  025-83786187   </w:t>
      </w:r>
      <w:r>
        <w:rPr>
          <w:rFonts w:hint="eastAsia" w:hAnsi="宋体"/>
          <w:color w:val="auto"/>
          <w:sz w:val="24"/>
          <w:highlight w:val="none"/>
          <w:lang w:eastAsia="zh-CN"/>
        </w:rPr>
        <w:t>郝</w:t>
      </w:r>
      <w:r>
        <w:rPr>
          <w:rFonts w:hint="eastAsia" w:hAnsi="宋体"/>
          <w:color w:val="auto"/>
          <w:sz w:val="24"/>
          <w:highlight w:val="none"/>
        </w:rPr>
        <w:t>老师</w:t>
      </w:r>
    </w:p>
    <w:p>
      <w:pPr>
        <w:spacing w:line="440" w:lineRule="exact"/>
        <w:ind w:firstLine="480" w:firstLineChars="200"/>
        <w:rPr>
          <w:rFonts w:hAnsi="宋体"/>
          <w:color w:val="auto"/>
          <w:sz w:val="24"/>
          <w:highlight w:val="none"/>
        </w:rPr>
      </w:pPr>
      <w:r>
        <w:rPr>
          <w:color w:val="auto"/>
          <w:sz w:val="24"/>
          <w:highlight w:val="none"/>
        </w:rPr>
        <w:t xml:space="preserve">                  </w:t>
      </w:r>
      <w:r>
        <w:rPr>
          <w:color w:val="auto"/>
          <w:sz w:val="32"/>
          <w:szCs w:val="32"/>
          <w:highlight w:val="none"/>
        </w:rPr>
        <w:t xml:space="preserve">  </w:t>
      </w:r>
    </w:p>
    <w:p>
      <w:pPr>
        <w:spacing w:line="440" w:lineRule="exact"/>
        <w:ind w:right="240" w:firstLine="460" w:firstLineChars="192"/>
        <w:jc w:val="right"/>
        <w:rPr>
          <w:rFonts w:hAnsi="宋体"/>
          <w:color w:val="auto"/>
          <w:sz w:val="24"/>
          <w:highlight w:val="none"/>
        </w:rPr>
      </w:pPr>
      <w:r>
        <w:rPr>
          <w:rFonts w:hint="eastAsia" w:hAnsi="宋体"/>
          <w:color w:val="auto"/>
          <w:sz w:val="24"/>
          <w:highlight w:val="none"/>
        </w:rPr>
        <w:t>河</w:t>
      </w:r>
      <w:r>
        <w:rPr>
          <w:rFonts w:hAnsi="宋体"/>
          <w:color w:val="auto"/>
          <w:sz w:val="24"/>
          <w:highlight w:val="none"/>
        </w:rPr>
        <w:t>海大学</w:t>
      </w:r>
      <w:r>
        <w:rPr>
          <w:rFonts w:hint="eastAsia" w:hAnsi="宋体"/>
          <w:color w:val="auto"/>
          <w:sz w:val="24"/>
          <w:highlight w:val="none"/>
          <w:lang w:eastAsia="zh-CN"/>
        </w:rPr>
        <w:t>港口海岸与近海工程</w:t>
      </w:r>
      <w:r>
        <w:rPr>
          <w:rFonts w:hAnsi="宋体"/>
          <w:color w:val="auto"/>
          <w:sz w:val="24"/>
          <w:highlight w:val="none"/>
        </w:rPr>
        <w:t xml:space="preserve">学院 </w:t>
      </w:r>
    </w:p>
    <w:p>
      <w:pPr>
        <w:rPr>
          <w:color w:val="auto"/>
          <w:highlight w:val="none"/>
        </w:rPr>
      </w:pPr>
      <w:r>
        <w:rPr>
          <w:rFonts w:hint="eastAsia"/>
          <w:color w:val="auto"/>
          <w:sz w:val="24"/>
          <w:highlight w:val="none"/>
        </w:rPr>
        <w:t xml:space="preserve">                                              2019年9月</w:t>
      </w:r>
      <w:r>
        <w:rPr>
          <w:rFonts w:hint="eastAsia"/>
          <w:color w:val="auto"/>
          <w:sz w:val="24"/>
          <w:highlight w:val="none"/>
          <w:lang w:val="en-US" w:eastAsia="zh-CN"/>
        </w:rPr>
        <w:t>23</w:t>
      </w:r>
      <w:bookmarkStart w:id="0" w:name="_GoBack"/>
      <w:bookmarkEnd w:id="0"/>
      <w:r>
        <w:rPr>
          <w:rFonts w:hint="eastAsia"/>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68"/>
    <w:rsid w:val="002758F3"/>
    <w:rsid w:val="002D51A8"/>
    <w:rsid w:val="00502D84"/>
    <w:rsid w:val="00C76958"/>
    <w:rsid w:val="00DE5168"/>
    <w:rsid w:val="00E1185D"/>
    <w:rsid w:val="13DC2C59"/>
    <w:rsid w:val="145344C0"/>
    <w:rsid w:val="30A70153"/>
    <w:rsid w:val="31A5141D"/>
    <w:rsid w:val="3FED430D"/>
    <w:rsid w:val="43E15C72"/>
    <w:rsid w:val="4D5602A0"/>
    <w:rsid w:val="4FAF2DD7"/>
    <w:rsid w:val="50C302C0"/>
    <w:rsid w:val="56D45806"/>
    <w:rsid w:val="59260136"/>
    <w:rsid w:val="675F0E93"/>
    <w:rsid w:val="70F96E9D"/>
    <w:rsid w:val="72465D3D"/>
    <w:rsid w:val="74A63CBC"/>
    <w:rsid w:val="767A2141"/>
    <w:rsid w:val="79CF2C1C"/>
    <w:rsid w:val="7ED0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6"/>
    <w:qFormat/>
    <w:uiPriority w:val="0"/>
    <w:pPr>
      <w:spacing w:line="440" w:lineRule="exact"/>
      <w:ind w:firstLine="461" w:firstLineChars="192"/>
    </w:pPr>
    <w:rPr>
      <w:rFonts w:ascii="宋体" w:hAnsi="宋体"/>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正文文本缩进 Char"/>
    <w:basedOn w:val="5"/>
    <w:link w:val="2"/>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163</Words>
  <Characters>930</Characters>
  <Lines>7</Lines>
  <Paragraphs>2</Paragraphs>
  <TotalTime>2</TotalTime>
  <ScaleCrop>false</ScaleCrop>
  <LinksUpToDate>false</LinksUpToDate>
  <CharactersWithSpaces>1091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2019-09-17T06:25:00Z</dcterms:created>
  <dc:creator>王森林</dc:creator>
  <cp:lastModifiedBy>user</cp:lastModifiedBy>
  <cp:lastPrinted>2019-09-20T08:32:00Z</cp:lastPrinted>
  <dcterms:modified xsi:type="dcterms:W3CDTF">2019-09-23T02:48:00Z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